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采购需求</w:t>
      </w:r>
    </w:p>
    <w:p>
      <w:pPr>
        <w:pStyle w:val="1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项目编号：myzhcg2024-020</w:t>
      </w:r>
    </w:p>
    <w:p>
      <w:pPr>
        <w:pStyle w:val="1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项目名称：负压机组设备采购项目</w:t>
      </w:r>
    </w:p>
    <w:p>
      <w:pPr>
        <w:pStyle w:val="1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采购包1：</w:t>
      </w:r>
    </w:p>
    <w:p>
      <w:pPr>
        <w:pStyle w:val="1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评选办法：综合评分法</w:t>
      </w:r>
    </w:p>
    <w:p>
      <w:pPr>
        <w:pStyle w:val="1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采购包预算金额（元）:</w:t>
      </w:r>
      <w:r>
        <w:rPr>
          <w:rFonts w:hint="eastAsia" w:ascii="宋体" w:hAnsi="宋体" w:eastAsia="宋体" w:cs="宋体"/>
          <w:sz w:val="21"/>
          <w:szCs w:val="21"/>
          <w:lang w:val="en-US" w:eastAsia="zh-CN"/>
        </w:rPr>
        <w:t>298000</w:t>
      </w:r>
    </w:p>
    <w:p>
      <w:pPr>
        <w:pStyle w:val="1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采购包最高限价（元）:</w:t>
      </w:r>
      <w:r>
        <w:rPr>
          <w:rFonts w:hint="eastAsia" w:ascii="宋体" w:hAnsi="宋体" w:eastAsia="宋体" w:cs="宋体"/>
          <w:sz w:val="21"/>
          <w:szCs w:val="21"/>
          <w:lang w:val="en-US" w:eastAsia="zh-CN"/>
        </w:rPr>
        <w:t>298000</w:t>
      </w:r>
    </w:p>
    <w:p>
      <w:pPr>
        <w:pStyle w:val="14"/>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供应商报价不允许超过标的金额</w:t>
      </w:r>
      <w:r>
        <w:rPr>
          <w:rFonts w:hint="eastAsia" w:ascii="宋体" w:hAnsi="宋体" w:eastAsia="宋体" w:cs="宋体"/>
          <w:sz w:val="21"/>
          <w:szCs w:val="21"/>
          <w:lang w:eastAsia="zh-CN"/>
        </w:rPr>
        <w:t>；</w:t>
      </w:r>
      <w:r>
        <w:rPr>
          <w:rFonts w:hint="eastAsia" w:ascii="宋体" w:hAnsi="宋体" w:eastAsia="宋体" w:cs="宋体"/>
          <w:sz w:val="21"/>
          <w:szCs w:val="21"/>
        </w:rPr>
        <w:t>供应商报价不允许超过标的单价</w:t>
      </w:r>
    </w:p>
    <w:tbl>
      <w:tblPr>
        <w:tblStyle w:val="11"/>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67"/>
        <w:gridCol w:w="1753"/>
        <w:gridCol w:w="1269"/>
        <w:gridCol w:w="1734"/>
        <w:gridCol w:w="1734"/>
        <w:gridCol w:w="12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8" w:hRule="atLeast"/>
          <w:jc w:val="center"/>
        </w:trPr>
        <w:tc>
          <w:tcPr>
            <w:tcW w:w="4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028"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标的名称</w:t>
            </w:r>
          </w:p>
        </w:tc>
        <w:tc>
          <w:tcPr>
            <w:tcW w:w="744"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1017"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单价（元）</w:t>
            </w:r>
          </w:p>
        </w:tc>
        <w:tc>
          <w:tcPr>
            <w:tcW w:w="1017"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标的金额 （元）</w:t>
            </w:r>
          </w:p>
        </w:tc>
        <w:tc>
          <w:tcPr>
            <w:tcW w:w="74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计量单位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2" w:hRule="atLeast"/>
          <w:jc w:val="center"/>
        </w:trPr>
        <w:tc>
          <w:tcPr>
            <w:tcW w:w="4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28"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b w:val="0"/>
                <w:bCs w:val="0"/>
                <w:sz w:val="21"/>
                <w:szCs w:val="21"/>
                <w:lang w:val="en-US" w:eastAsia="zh-CN"/>
              </w:rPr>
              <w:t>负压机组</w:t>
            </w:r>
          </w:p>
        </w:tc>
        <w:tc>
          <w:tcPr>
            <w:tcW w:w="744"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17"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298000</w:t>
            </w:r>
          </w:p>
        </w:tc>
        <w:tc>
          <w:tcPr>
            <w:tcW w:w="1017"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1"/>
                <w:szCs w:val="21"/>
                <w:lang w:val="en-US"/>
              </w:rPr>
            </w:pPr>
            <w:r>
              <w:rPr>
                <w:rFonts w:hint="eastAsia" w:ascii="宋体" w:hAnsi="宋体" w:eastAsia="宋体" w:cs="宋体"/>
                <w:sz w:val="21"/>
                <w:szCs w:val="21"/>
                <w:lang w:val="en-US" w:eastAsia="zh-CN"/>
              </w:rPr>
              <w:t>298000</w:t>
            </w:r>
          </w:p>
        </w:tc>
        <w:tc>
          <w:tcPr>
            <w:tcW w:w="74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台</w:t>
            </w:r>
          </w:p>
        </w:tc>
      </w:tr>
    </w:tbl>
    <w:p>
      <w:pPr>
        <w:keepNext w:val="0"/>
        <w:keepLines w:val="0"/>
        <w:pageBreakBefore w:val="0"/>
        <w:kinsoku/>
        <w:wordWrap/>
        <w:overflowPunct/>
        <w:topLinePunct w:val="0"/>
        <w:bidi w:val="0"/>
        <w:snapToGrid/>
        <w:spacing w:line="0" w:lineRule="atLeast"/>
        <w:ind w:firstLine="0" w:firstLineChars="0"/>
        <w:contextualSpacing/>
        <w:jc w:val="center"/>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技术标准和要求</w:t>
      </w:r>
    </w:p>
    <w:p>
      <w:pPr>
        <w:keepNext w:val="0"/>
        <w:keepLines w:val="0"/>
        <w:pageBreakBefore w:val="0"/>
        <w:kinsoku/>
        <w:wordWrap/>
        <w:overflowPunct/>
        <w:topLinePunct w:val="0"/>
        <w:bidi w:val="0"/>
        <w:snapToGrid/>
        <w:spacing w:line="0" w:lineRule="atLeast"/>
        <w:ind w:firstLine="0" w:firstLineChars="0"/>
        <w:contextualSpacing/>
        <w:textAlignment w:val="auto"/>
        <w:outlineLvl w:val="4"/>
        <w:rPr>
          <w:rFonts w:hint="eastAsia" w:ascii="宋体" w:hAnsi="宋体" w:eastAsia="宋体" w:cs="宋体"/>
          <w:b/>
          <w:sz w:val="21"/>
          <w:szCs w:val="21"/>
        </w:rPr>
      </w:pPr>
      <w:r>
        <w:rPr>
          <w:rFonts w:hint="eastAsia" w:ascii="宋体" w:hAnsi="宋体" w:eastAsia="宋体" w:cs="宋体"/>
          <w:b/>
          <w:sz w:val="21"/>
          <w:szCs w:val="21"/>
        </w:rPr>
        <w:t>1、医用真空负压机</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医用真空负压机由3台无油真空泵、3台除菌过滤器、1台PLC控制柜、负压报警装置、电磁阀、阀门、管路、集成架等组成</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（1）单台无油真空泵处理量：≥240m³/h，单台无油真空泵功率：≤5.5KW</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（2）工作调节范围：-0.04MPa～-0.087MPa（可调）</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（3）最大吸引量：≥3×240m³/h</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（4）系统接地电阻：＜10Ω</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）整体集成 ，结构紧凑，安装方便，占地面积小</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宋体" w:hAnsi="宋体" w:eastAsia="宋体" w:cs="宋体"/>
          <w:sz w:val="21"/>
          <w:szCs w:val="21"/>
        </w:rPr>
        <w:t>）通过控制柜的真空吸引机组控制系统控制各真空泵的交替、跟进运行，保证系统连续抽气。当压力高于-0.087MPa或低于-0.04MPa时均发出声光报警，具备数据远程传送功能，可通过网络连接局域网或互联网专用服务器</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）实时显示机组的运行状态、超限产生声光报警</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）具有过载、缺项、相序错误保护，当真空泵出现过载、缺项、相序错误故障时能自动切换到正常的真空泵工作</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w:t>
      </w:r>
      <w:r>
        <w:rPr>
          <w:rFonts w:hint="eastAsia" w:ascii="宋体" w:hAnsi="宋体" w:eastAsia="宋体" w:cs="宋体"/>
          <w:sz w:val="21"/>
          <w:szCs w:val="21"/>
        </w:rPr>
        <w:t>）具有RS485通讯接口，可以与以太网连接，实现数据远传共享</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）进气、排气管路采用法兰连接，可靠耐用，维修方便</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）医用真空负压机属于国家II类医疗器械，须提供医用真空负压机的II类医疗器械注册证。</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）一体式结构设计，整体集成，配置液晶触摸电控柜，可提供系统运行、报警、维护、保养等信息，须提供制造商公开发行的印刷材料并加盖制造商公章。</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r>
        <w:rPr>
          <w:rFonts w:hint="eastAsia" w:ascii="宋体" w:hAnsi="宋体" w:eastAsia="宋体" w:cs="宋体"/>
          <w:sz w:val="21"/>
          <w:szCs w:val="21"/>
        </w:rPr>
        <w:t>）配置防回流装置，可避免污物回流，保证设备运行安全，增加系统使用安全，须提供制造商公开发行的印刷材料并加盖制造商公章。</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）为保证系统连续抽气，提高系统使用安全，须提供投标人的真空吸引机组控制系统计算机软件著作权登记证书。</w:t>
      </w:r>
    </w:p>
    <w:p>
      <w:pPr>
        <w:keepNext w:val="0"/>
        <w:keepLines w:val="0"/>
        <w:pageBreakBefore w:val="0"/>
        <w:kinsoku/>
        <w:wordWrap/>
        <w:overflowPunct/>
        <w:topLinePunct w:val="0"/>
        <w:bidi w:val="0"/>
        <w:snapToGrid/>
        <w:spacing w:line="0" w:lineRule="atLeast"/>
        <w:ind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eastAsia" w:ascii="宋体" w:hAnsi="宋体" w:eastAsia="宋体" w:cs="宋体"/>
          <w:sz w:val="21"/>
          <w:szCs w:val="21"/>
        </w:rPr>
        <w:t>）不锈钢管镀层不具有对人体有害的物质（铅、镉、汞、六价铬）四项重金属残留，须提供国家认可的检验检测机构出具的检测报告。</w:t>
      </w:r>
    </w:p>
    <w:p>
      <w:pPr>
        <w:keepNext w:val="0"/>
        <w:keepLines w:val="0"/>
        <w:pageBreakBefore w:val="0"/>
        <w:kinsoku/>
        <w:wordWrap/>
        <w:overflowPunct/>
        <w:topLinePunct w:val="0"/>
        <w:bidi w:val="0"/>
        <w:snapToGrid/>
        <w:spacing w:line="0" w:lineRule="atLeast"/>
        <w:ind w:firstLine="0" w:firstLineChars="0"/>
        <w:contextualSpacing/>
        <w:textAlignment w:val="auto"/>
        <w:outlineLvl w:val="4"/>
        <w:rPr>
          <w:rFonts w:hint="eastAsia" w:ascii="宋体" w:hAnsi="宋体" w:eastAsia="宋体" w:cs="宋体"/>
          <w:b/>
          <w:sz w:val="21"/>
          <w:szCs w:val="21"/>
        </w:rPr>
      </w:pPr>
      <w:r>
        <w:rPr>
          <w:rFonts w:hint="eastAsia" w:ascii="宋体" w:hAnsi="宋体" w:eastAsia="宋体" w:cs="宋体"/>
          <w:b/>
          <w:sz w:val="21"/>
          <w:szCs w:val="21"/>
        </w:rPr>
        <w:t>2、设备清单</w:t>
      </w:r>
    </w:p>
    <w:tbl>
      <w:tblPr>
        <w:tblStyle w:val="11"/>
        <w:tblW w:w="0" w:type="auto"/>
        <w:tblInd w:w="0" w:type="dxa"/>
        <w:tblLayout w:type="autofit"/>
        <w:tblCellMar>
          <w:top w:w="0" w:type="dxa"/>
          <w:left w:w="108" w:type="dxa"/>
          <w:bottom w:w="0" w:type="dxa"/>
          <w:right w:w="108" w:type="dxa"/>
        </w:tblCellMar>
      </w:tblPr>
      <w:tblGrid>
        <w:gridCol w:w="321"/>
        <w:gridCol w:w="747"/>
        <w:gridCol w:w="5532"/>
        <w:gridCol w:w="426"/>
        <w:gridCol w:w="321"/>
        <w:gridCol w:w="1175"/>
      </w:tblGrid>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医用真空负压机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1.单台无油真空泵处理量：≥240m³/h</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2.单台无油真空泵功率：≤5.5KW</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3.出口压力：-0.04Mpa--0.087Mpa</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4.包含1台机架集成块、3台无油真空泵、3台除菌过滤器、1台自动控制柜、1台负压安全报警装置、电磁阀管路及阀门一批等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5.采用PLC触摸液晶屏显示站内系统流程及运行参数全封闭式金属箱体设计，具备抗干扰能力，控制真空泵跟进，交替运行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6.具备输出压力超欠压报警及运行指标异常报警功能，具有RS485数据远传模块及接口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7.带配对法兰接口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9.医用真空负压机属于国家II类医疗器械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其中核心部件真空泵采用2用1备</w:t>
            </w: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管道及安装辅料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1.包含配套安装管道、管件、电线等辅料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0" w:lineRule="atLeast"/>
              <w:ind w:firstLine="0" w:firstLineChars="0"/>
              <w:jc w:val="center"/>
              <w:textAlignment w:val="auto"/>
              <w:rPr>
                <w:rFonts w:hint="eastAsia" w:ascii="宋体" w:hAnsi="宋体" w:eastAsia="宋体" w:cs="宋体"/>
                <w:color w:val="000000"/>
                <w:kern w:val="0"/>
                <w:sz w:val="21"/>
                <w:szCs w:val="21"/>
              </w:rPr>
            </w:pPr>
          </w:p>
        </w:tc>
      </w:tr>
    </w:tbl>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带“</w:t>
      </w:r>
      <w:r>
        <w:rPr>
          <w:rFonts w:hint="eastAsia" w:ascii="宋体" w:hAnsi="宋体" w:eastAsia="宋体" w:cs="宋体"/>
          <w:sz w:val="21"/>
          <w:szCs w:val="21"/>
          <w:lang w:val="en-US" w:eastAsia="zh-CN"/>
        </w:rPr>
        <w:t>★</w:t>
      </w:r>
      <w:r>
        <w:rPr>
          <w:rFonts w:hint="eastAsia" w:ascii="宋体" w:hAnsi="宋体" w:eastAsia="宋体" w:cs="宋体"/>
          <w:sz w:val="21"/>
          <w:szCs w:val="21"/>
        </w:rPr>
        <w:t>”的参数需求为实质性要求，供应商必须响应并满足的参数需求。带“▲”号条款</w:t>
      </w:r>
      <w:r>
        <w:rPr>
          <w:rFonts w:hint="eastAsia" w:ascii="宋体" w:hAnsi="宋体" w:eastAsia="宋体" w:cs="宋体"/>
          <w:sz w:val="21"/>
          <w:szCs w:val="21"/>
          <w:lang w:val="en-US" w:eastAsia="zh-CN"/>
        </w:rPr>
        <w:t>与无符号条款</w:t>
      </w:r>
      <w:r>
        <w:rPr>
          <w:rFonts w:hint="eastAsia" w:ascii="宋体" w:hAnsi="宋体" w:eastAsia="宋体" w:cs="宋体"/>
          <w:sz w:val="21"/>
          <w:szCs w:val="21"/>
        </w:rPr>
        <w:t>为允许负偏离的参数需求，若未响应或者不满足，将在综合评审中予以扣分处理。</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二、商务要求：</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交货日期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自合同签订之日起45日</w:t>
      </w:r>
      <w:bookmarkStart w:id="0" w:name="_GoBack"/>
      <w:bookmarkEnd w:id="0"/>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支付约定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按采购合同约定将设备送至使用科室，需要安装调试的设备由投标人按采购合同清单明细完成设备安装后交使用科室、资产管理职能科室（医学工程科）进行安装验收，并分别签字确认。完成履约验收并合格后，凭票据资料采购合同资料和安装验收单到库房会计处进行入库，入库后进行付款流程，达到付款条件，次月支付90%货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2、从履约验收起一年后，投标人再次持所有资料提起尾款，财务科固定资产会计根据资料进行尾款付款签批流程进行支付，达到付款条件，支付合同总金额的10.00%。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3、甲方支付价款之前，乙方须向甲方出具合法有效完整的完税发票及验收凭证资料作为支付结算的必要条件，乙方未提供相应完税发票的，付款期限顺延，不视为违约；</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质保期限：不少于3年</w:t>
      </w:r>
      <w:r>
        <w:rPr>
          <w:rFonts w:hint="eastAsia" w:ascii="宋体" w:hAnsi="宋体" w:eastAsia="宋体" w:cs="宋体"/>
          <w:sz w:val="21"/>
          <w:szCs w:val="21"/>
          <w:lang w:val="en-US" w:eastAsia="zh-CN"/>
        </w:rPr>
        <w:t>。保修期应以双方的验收合格之日（即双方签署履约验收报告单之日）起计算，保修期内更换零配件的费用由中标人承担。</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验收标准和方法</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履约验收的主体：眉山市人民医院</w:t>
      </w:r>
      <w:r>
        <w:rPr>
          <w:rFonts w:hint="eastAsia" w:ascii="宋体" w:hAnsi="宋体" w:eastAsia="宋体" w:cs="宋体"/>
          <w:sz w:val="21"/>
          <w:szCs w:val="21"/>
          <w:lang w:eastAsia="zh-CN"/>
        </w:rPr>
        <w:t>；</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验收组织方式：自行验收</w:t>
      </w:r>
      <w:r>
        <w:rPr>
          <w:rFonts w:hint="eastAsia" w:ascii="宋体" w:hAnsi="宋体" w:eastAsia="宋体" w:cs="宋体"/>
          <w:sz w:val="21"/>
          <w:szCs w:val="21"/>
          <w:lang w:eastAsia="zh-CN"/>
        </w:rPr>
        <w:t>；</w:t>
      </w:r>
    </w:p>
    <w:p>
      <w:pPr>
        <w:pStyle w:val="14"/>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履约验收程序：一次性验收。</w:t>
      </w:r>
      <w:r>
        <w:rPr>
          <w:rFonts w:hint="eastAsia" w:ascii="宋体" w:hAnsi="宋体" w:eastAsia="宋体" w:cs="宋体"/>
          <w:sz w:val="21"/>
          <w:szCs w:val="21"/>
          <w:lang w:val="en-US" w:eastAsia="zh-CN"/>
        </w:rPr>
        <w:t>①投标人在完成设备交货安装调试后交付给采购人试用2个月。在试用期届满前15日内应当向采购人提出履约验收申请，采购人在接到中标人的验收申请后在30日内组织履约验收，履约经验收合格后方视为投标人履行供货及安装合同义务符合合同约定。②履约验收合格，双方在履约验收报告单上签字确认。</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履约验收标准：按国家相关法律、行业标准验收。</w:t>
      </w:r>
    </w:p>
    <w:p>
      <w:pPr>
        <w:pStyle w:val="14"/>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履约验收其他事项：</w:t>
      </w:r>
    </w:p>
    <w:p>
      <w:pPr>
        <w:pStyle w:val="14"/>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未尽事宜将按照《财政部关于进一步加强政府采购需求和履约验收管理的指导意见》(财库(2016) 205号)、《政府采购需求管理办法》(财库(2021) 22号)的要求及国家行业主管部门规定的标准、方法和内容进行验收。</w:t>
      </w:r>
    </w:p>
    <w:p>
      <w:pPr>
        <w:pStyle w:val="14"/>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b/>
          <w:bCs/>
          <w:spacing w:val="10"/>
          <w:kern w:val="2"/>
          <w:sz w:val="21"/>
          <w:szCs w:val="21"/>
          <w:lang w:val="en-US" w:eastAsia="zh-CN" w:bidi="ar-SA"/>
        </w:rPr>
        <w:t>采购需求以报名后获取的采购文件为准</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90501"/>
    <w:multiLevelType w:val="singleLevel"/>
    <w:tmpl w:val="08390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NjVhOGFhMjZlNDE0NzQ3NWE4N2FmYjNlYmJiZDUifQ=="/>
  </w:docVars>
  <w:rsids>
    <w:rsidRoot w:val="00000000"/>
    <w:rsid w:val="004C7331"/>
    <w:rsid w:val="044D426F"/>
    <w:rsid w:val="046D53F8"/>
    <w:rsid w:val="0A033F19"/>
    <w:rsid w:val="0B7F5343"/>
    <w:rsid w:val="0C3B5451"/>
    <w:rsid w:val="0C505188"/>
    <w:rsid w:val="0C6211BE"/>
    <w:rsid w:val="0CA27F6D"/>
    <w:rsid w:val="109F3233"/>
    <w:rsid w:val="140B02F2"/>
    <w:rsid w:val="15365071"/>
    <w:rsid w:val="16FD16D7"/>
    <w:rsid w:val="17524E8E"/>
    <w:rsid w:val="1AEE2BA6"/>
    <w:rsid w:val="1EC97204"/>
    <w:rsid w:val="2067251D"/>
    <w:rsid w:val="227417D4"/>
    <w:rsid w:val="23C5488E"/>
    <w:rsid w:val="26B508AF"/>
    <w:rsid w:val="2D2A38E5"/>
    <w:rsid w:val="2E8B726C"/>
    <w:rsid w:val="34304269"/>
    <w:rsid w:val="348D23B4"/>
    <w:rsid w:val="35817FB5"/>
    <w:rsid w:val="35D442B1"/>
    <w:rsid w:val="388C5B8C"/>
    <w:rsid w:val="391A37D2"/>
    <w:rsid w:val="41774336"/>
    <w:rsid w:val="41EA4926"/>
    <w:rsid w:val="42611561"/>
    <w:rsid w:val="4427351F"/>
    <w:rsid w:val="4454186C"/>
    <w:rsid w:val="46FC54DD"/>
    <w:rsid w:val="48CC5807"/>
    <w:rsid w:val="491078A4"/>
    <w:rsid w:val="4A85695F"/>
    <w:rsid w:val="4C54665B"/>
    <w:rsid w:val="4D271BFF"/>
    <w:rsid w:val="4D3159A8"/>
    <w:rsid w:val="4F0F2043"/>
    <w:rsid w:val="54665717"/>
    <w:rsid w:val="54D94248"/>
    <w:rsid w:val="569A3030"/>
    <w:rsid w:val="5D45271F"/>
    <w:rsid w:val="5D8D5B48"/>
    <w:rsid w:val="5EC50168"/>
    <w:rsid w:val="639F07CF"/>
    <w:rsid w:val="65E627D6"/>
    <w:rsid w:val="6C7227EB"/>
    <w:rsid w:val="6ECE6065"/>
    <w:rsid w:val="70776B4D"/>
    <w:rsid w:val="70A24B63"/>
    <w:rsid w:val="724D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880" w:firstLineChars="200"/>
      <w:jc w:val="left"/>
    </w:pPr>
    <w:rPr>
      <w:rFonts w:ascii="Times New Roman" w:hAnsi="Times New Roman" w:eastAsia="仿宋_GB2312" w:cstheme="minorBidi"/>
      <w:kern w:val="2"/>
      <w:sz w:val="24"/>
      <w:szCs w:val="24"/>
      <w:lang w:val="en-US" w:eastAsia="zh-CN" w:bidi="ar-SA"/>
    </w:rPr>
  </w:style>
  <w:style w:type="paragraph" w:styleId="5">
    <w:name w:val="heading 1"/>
    <w:basedOn w:val="1"/>
    <w:next w:val="1"/>
    <w:autoRedefine/>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rPr>
  </w:style>
  <w:style w:type="paragraph" w:styleId="6">
    <w:name w:val="heading 2"/>
    <w:basedOn w:val="1"/>
    <w:next w:val="1"/>
    <w:autoRedefine/>
    <w:semiHidden/>
    <w:unhideWhenUsed/>
    <w:qFormat/>
    <w:uiPriority w:val="0"/>
    <w:pPr>
      <w:keepNext/>
      <w:keepLines/>
      <w:spacing w:before="260" w:after="260" w:line="500" w:lineRule="exact"/>
      <w:jc w:val="center"/>
      <w:outlineLvl w:val="1"/>
    </w:pPr>
    <w:rPr>
      <w:rFonts w:ascii="Arial" w:hAnsi="Arial" w:eastAsia="黑体" w:cs="Times New Roman"/>
      <w:sz w:val="36"/>
      <w:szCs w:val="20"/>
    </w:rPr>
  </w:style>
  <w:style w:type="paragraph" w:styleId="7">
    <w:name w:val="heading 3"/>
    <w:basedOn w:val="1"/>
    <w:next w:val="1"/>
    <w:autoRedefine/>
    <w:semiHidden/>
    <w:unhideWhenUsed/>
    <w:qFormat/>
    <w:uiPriority w:val="0"/>
    <w:pPr>
      <w:keepNext/>
      <w:keepLines/>
      <w:spacing w:beforeLines="0" w:beforeAutospacing="0" w:afterLines="0" w:afterAutospacing="0" w:line="560" w:lineRule="exact"/>
      <w:outlineLvl w:val="2"/>
    </w:pPr>
    <w:rPr>
      <w:rFonts w:ascii="Times New Roman" w:hAnsi="Times New Roman" w:eastAsia="楷体_GB2312"/>
      <w:b/>
      <w:sz w:val="32"/>
    </w:rPr>
  </w:style>
  <w:style w:type="paragraph" w:styleId="8">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Times New Roman" w:hAnsi="Times New Roman" w:eastAsia="黑体"/>
      <w:b/>
      <w:sz w:val="28"/>
    </w:rPr>
  </w:style>
  <w:style w:type="character" w:default="1" w:styleId="12">
    <w:name w:val="Default Paragraph Font"/>
    <w:autoRedefine/>
    <w:semiHidden/>
    <w:qFormat/>
    <w:uiPriority w:val="0"/>
    <w:rPr>
      <w:rFonts w:ascii="Calibri" w:hAnsi="Calibri" w:eastAsia="宋体"/>
      <w:sz w:val="18"/>
    </w:rPr>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afterLines="0" w:afterAutospacing="0"/>
    </w:pPr>
  </w:style>
  <w:style w:type="paragraph" w:styleId="3">
    <w:name w:val="Body Text First Indent"/>
    <w:basedOn w:val="2"/>
    <w:next w:val="4"/>
    <w:autoRedefine/>
    <w:unhideWhenUsed/>
    <w:qFormat/>
    <w:uiPriority w:val="99"/>
    <w:pPr>
      <w:ind w:firstLine="420" w:firstLineChars="100"/>
    </w:pPr>
  </w:style>
  <w:style w:type="paragraph" w:customStyle="1" w:styleId="4">
    <w:name w:val="样式 正文首行缩进 + 首行缩进:  2 字符1 Char Char"/>
    <w:autoRedefine/>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Date"/>
    <w:basedOn w:val="1"/>
    <w:next w:val="1"/>
    <w:autoRedefine/>
    <w:qFormat/>
    <w:uiPriority w:val="0"/>
    <w:pPr>
      <w:ind w:left="100" w:leftChars="2500"/>
    </w:pPr>
    <w:rPr>
      <w:rFonts w:ascii="Times New Roman" w:hAnsi="Times New Roman"/>
    </w:rPr>
  </w:style>
  <w:style w:type="paragraph" w:styleId="10">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customStyle="1" w:styleId="13">
    <w:name w:val="正文4号字体"/>
    <w:basedOn w:val="1"/>
    <w:autoRedefine/>
    <w:qFormat/>
    <w:uiPriority w:val="0"/>
    <w:pPr>
      <w:keepNext/>
      <w:keepLines/>
      <w:ind w:firstLine="600" w:firstLineChars="200"/>
    </w:pPr>
    <w:rPr>
      <w:sz w:val="28"/>
    </w:rPr>
  </w:style>
  <w:style w:type="paragraph" w:customStyle="1" w:styleId="14">
    <w:name w:val="null3"/>
    <w:autoRedefine/>
    <w:hidden/>
    <w:qFormat/>
    <w:uiPriority w:val="0"/>
    <w:rPr>
      <w:rFonts w:hint="eastAsia" w:asciiTheme="minorHAnsi" w:hAnsiTheme="minorHAnsi" w:eastAsiaTheme="minorEastAsia" w:cstheme="minorBidi"/>
      <w:lang w:val="en-US" w:eastAsia="zh-Hans"/>
    </w:rPr>
  </w:style>
  <w:style w:type="paragraph" w:customStyle="1" w:styleId="15">
    <w:name w:val="正文 A"/>
    <w:autoRedefine/>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2022-11-21T05:58:00Z</dcterms:created>
  <dc:creator>Administrator</dc:creator>
  <cp:lastModifiedBy>A.勾勾勾</cp:lastModifiedBy>
  <dcterms:modified xsi:type="dcterms:W3CDTF">2024-03-07T01:55:49Z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CC7B75BA37BC490F8697685FBA7D9B95_13</vt:lpwstr>
  </property>
</Properties>
</file>